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Внимание! График выездов мобильной клиентской службы ОПФР по КБР в 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>мае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 201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>7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 года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Пресс-релиз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02.05.2017 г.</w:t>
      </w:r>
    </w:p>
    <w:p w:rsidR="00196C47" w:rsidRPr="00196C47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196C4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Нальчик. КБР.</w:t>
      </w:r>
    </w:p>
    <w:p w:rsidR="00196C47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</w:p>
    <w:p w:rsidR="006C4C8D" w:rsidRPr="006C4C8D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ГРАФИК</w:t>
      </w:r>
    </w:p>
    <w:p w:rsidR="006C4C8D" w:rsidRPr="00F72571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мае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775878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7</w:t>
      </w:r>
      <w:r w:rsidRPr="006C4C8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6C4C8D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485"/>
      </w:tblGrid>
      <w:tr w:rsidR="00775878" w:rsidRPr="00775878" w:rsidTr="0077587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п</w:t>
            </w:r>
            <w:proofErr w:type="gramEnd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Черекский</w:t>
            </w:r>
            <w:proofErr w:type="spellEnd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с.п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. Безенги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25.05.2017 года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Чеченова М.М.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Терский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с.п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. В. Акбаш  –  Н. Акбаш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30.05.2017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Дадохова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с.п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Герменчик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– Черная речка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val="en-US" w:eastAsia="ru-RU"/>
              </w:rPr>
              <w:t>23.05.2017</w:t>
            </w: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Калмыкова Р.А.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Майский район</w:t>
            </w:r>
          </w:p>
        </w:tc>
      </w:tr>
      <w:tr w:rsidR="00775878" w:rsidRPr="00775878" w:rsidTr="00775878">
        <w:trPr>
          <w:cantSplit/>
          <w:trHeight w:val="27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878" w:rsidRPr="00775878" w:rsidRDefault="00775878" w:rsidP="00775878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с.п</w:t>
            </w:r>
            <w:proofErr w:type="spellEnd"/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. Ново-Ивановское – Октябрьское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17.05.2017 года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878" w:rsidRPr="00775878" w:rsidRDefault="00775878" w:rsidP="00775878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75878">
              <w:rPr>
                <w:rFonts w:ascii="Arial" w:eastAsia="Times New Roman" w:hAnsi="Arial" w:cs="Arial"/>
                <w:color w:val="365F91" w:themeColor="accent1" w:themeShade="BF"/>
                <w:sz w:val="24"/>
                <w:szCs w:val="24"/>
                <w:lang w:eastAsia="ru-RU"/>
              </w:rPr>
              <w:t>Щукина Н.В.</w:t>
            </w:r>
          </w:p>
        </w:tc>
      </w:tr>
    </w:tbl>
    <w:p w:rsidR="00DE67A1" w:rsidRPr="002D5A07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</w:p>
    <w:p w:rsidR="00775878" w:rsidRPr="00775878" w:rsidRDefault="00775878" w:rsidP="0077587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Начало приема</w:t>
      </w:r>
      <w:r w:rsidRPr="0077587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: в первом населенном пункте в </w:t>
      </w: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10.00</w:t>
      </w:r>
      <w:r w:rsidRPr="00775878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, во втором – в </w:t>
      </w:r>
      <w:r w:rsidRPr="00775878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11.00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ч.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ГАЗель</w:t>
      </w:r>
      <w:proofErr w:type="spellEnd"/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6C4C8D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C4C8D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lastRenderedPageBreak/>
        <w:t>Пресс-служба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</w:pPr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Вебсайт: http://www.pfrf.ru/branches/kbr/news/</w:t>
      </w:r>
    </w:p>
    <w:p w:rsidR="00196C47" w:rsidRPr="00196C47" w:rsidRDefault="00196C47" w:rsidP="00196C47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</w:pPr>
      <w:bookmarkStart w:id="0" w:name="_GoBack"/>
      <w:bookmarkEnd w:id="0"/>
      <w:r w:rsidRPr="00196C47">
        <w:rPr>
          <w:rFonts w:ascii="Arial" w:eastAsia="Times New Roman" w:hAnsi="Arial" w:cs="Arial"/>
          <w:color w:val="365F91" w:themeColor="accent1" w:themeShade="BF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1A6BC2" w:rsidRPr="00196C47" w:rsidRDefault="001A6BC2" w:rsidP="006C4C8D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1A6BC2" w:rsidRPr="00196C47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103D7B"/>
    <w:rsid w:val="00133D77"/>
    <w:rsid w:val="00165B52"/>
    <w:rsid w:val="00177ACB"/>
    <w:rsid w:val="00196C47"/>
    <w:rsid w:val="001A6BC2"/>
    <w:rsid w:val="00201A83"/>
    <w:rsid w:val="002D5A07"/>
    <w:rsid w:val="00391A34"/>
    <w:rsid w:val="00570BA9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D6C88"/>
    <w:rsid w:val="00B24587"/>
    <w:rsid w:val="00C50B00"/>
    <w:rsid w:val="00D60629"/>
    <w:rsid w:val="00DE67A1"/>
    <w:rsid w:val="00E9739E"/>
    <w:rsid w:val="00F72571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27</cp:revision>
  <dcterms:created xsi:type="dcterms:W3CDTF">2016-01-29T08:28:00Z</dcterms:created>
  <dcterms:modified xsi:type="dcterms:W3CDTF">2017-05-02T07:15:00Z</dcterms:modified>
</cp:coreProperties>
</file>